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Claim no.: </w:t>
            </w:r>
            <w:r>
              <w:t xml:space="preserve">[Insurer, claim number]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RO-2001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Vehicle: </w:t>
            </w:r>
            <w:r>
              <w:t xml:space="preserve">[2020 RAV4, white]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VIN: </w:t>
            </w:r>
            <w:r>
              <w:t xml:space="preserve">[17-character VIN]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Body labor: repair left front fender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$238.00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Refinish labor: fender, blend door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4.2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$285.60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Paint and 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refinish hour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4.2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$176.40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Front bumper cover (aftermarket, new)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Part no. [TO1000447]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$238.00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$938.00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(7.25%)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$30.04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$968.04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$468.04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Deductible of $500.00 paid by the customer. Balance billed to the insurer. Lifetime warranty on workmanship and paint.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